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9" w:tblpY="2796"/>
        <w:tblOverlap w:val="never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3"/>
        <w:gridCol w:w="855"/>
        <w:gridCol w:w="5544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7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6399" w:type="dxa"/>
            <w:gridSpan w:val="2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评      价      内      容</w:t>
            </w:r>
          </w:p>
        </w:tc>
        <w:tc>
          <w:tcPr>
            <w:tcW w:w="1299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0" w:hRule="atLeast"/>
        </w:trPr>
        <w:tc>
          <w:tcPr>
            <w:tcW w:w="137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一票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否决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6399" w:type="dxa"/>
            <w:gridSpan w:val="2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出卖、伪造和弄虚作假骗取《建筑业企业资质证书》；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未取得安全许可证从事建设工程活动；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发生较大及以上质量安全事故的；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超越资质等级承揽工程，违法转包分包工程；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在招投标活动中发生违法及严重违规行为；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受国家监督检查通报批评及以上处罚；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在省（市）建设行政主管部门有不良行为记录两次以上的；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被举报有拖欠农民工工资行为，并经有关机关查实。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00" w:lineRule="exact"/>
              <w:ind w:left="0" w:leftChars="0" w:right="0" w:rightChars="0" w:firstLine="180"/>
              <w:jc w:val="both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发生违法违纪行为，处理不及时引发大规模群体上访事件。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素质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70分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建造师数量达到资质标准要求。</w:t>
            </w:r>
          </w:p>
        </w:tc>
        <w:tc>
          <w:tcPr>
            <w:tcW w:w="129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具有有效的安全生产许可证。</w:t>
            </w:r>
          </w:p>
        </w:tc>
        <w:tc>
          <w:tcPr>
            <w:tcW w:w="12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具有有效的工商营业执照。</w:t>
            </w:r>
          </w:p>
        </w:tc>
        <w:tc>
          <w:tcPr>
            <w:tcW w:w="12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提供《建筑业企业资质标准》中要求的技术负责人职称证。</w:t>
            </w:r>
          </w:p>
        </w:tc>
        <w:tc>
          <w:tcPr>
            <w:tcW w:w="12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20分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评价年度净资产达到《建筑业企业资质标准》的要求</w:t>
            </w:r>
            <w:r>
              <w:rPr>
                <w:rFonts w:hint="eastAsia" w:ascii="黑体" w:hAnsi="宋体" w:eastAsia="黑体" w:cs="黑体"/>
                <w:color w:val="FF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近三年获国家级优秀企业加3分，省级优秀企业加2分，市级加1分。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3、2、1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近三年完成国外、省外、市外工程累计达到5000万以上加4分，累计达到3000万以上加2分。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4、2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企业管理三体系认证加3分。（质量、环境、职业健康安全）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生产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当地建设行政主管部门有不良行为记录。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受省（市）环保部门处罚。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受省（市）监督检查通报批评处罚。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一般安全事故扣5分。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近三年内获全国建筑施工安全文明工地加5分，省文明样板工地加3分，省质量标准化优秀等级加3分，市优奖项的加2分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5、3、3、2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373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质量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总分值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30分</w:t>
            </w: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近三年内获鲁班奖、国家优质工程加8分，近三年获省、市优质工程龙江杯加5分，甲级加3分，乙级加2分。牡丹杯加2分，市优质奖加1分。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8、5、3、2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近三年内获国家级十项新技术示范工程金（银）奖加8分，获省级十项新技术示范工程金牌加3分，银奖加2分。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8、3、2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近三年内获国家级优秀QC小组成果加4分，省级优秀QC小组成果加2分。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4、2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近三年内获国家级工法加5分，省级工法加3分。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" w:hRule="atLeast"/>
        </w:trPr>
        <w:tc>
          <w:tcPr>
            <w:tcW w:w="1373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lucida Grande" w:hAnsi="lucida Grande" w:eastAsia="lucida Grande" w:cs="lucida Grande"/>
                <w:sz w:val="18"/>
                <w:szCs w:val="18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近三年内国家级绿色施工示范工程加5分，省级绿色施工示范工程加3分。</w:t>
            </w:r>
          </w:p>
        </w:tc>
        <w:tc>
          <w:tcPr>
            <w:tcW w:w="1299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6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val="en-US" w:eastAsia="zh-CN" w:bidi="ar"/>
              </w:rPr>
              <w:t>5、3</w:t>
            </w:r>
          </w:p>
        </w:tc>
      </w:tr>
    </w:tbl>
    <w:p>
      <w:pPr>
        <w:widowControl/>
        <w:shd w:val="clear" w:color="auto" w:fill="FFFFFF"/>
        <w:spacing w:line="378" w:lineRule="atLeast"/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widowControl/>
        <w:shd w:val="clear" w:color="auto" w:fill="FFFFFF"/>
        <w:spacing w:line="378" w:lineRule="atLeast"/>
        <w:ind w:firstLine="1446" w:firstLineChars="400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牡丹江市建筑业企业行业信用评价标准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F29ED"/>
    <w:rsid w:val="5AE63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